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50"/>
          <w:szCs w:val="50"/>
        </w:rPr>
      </w:pPr>
      <w:r w:rsidDel="00000000" w:rsidR="00000000" w:rsidRPr="00000000">
        <w:rPr>
          <w:b w:val="1"/>
          <w:sz w:val="24"/>
          <w:szCs w:val="24"/>
          <w:highlight w:val="white"/>
          <w:u w:val="single"/>
          <w:rtl w:val="0"/>
        </w:rPr>
        <w:t xml:space="preserve">Informacja prasowa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                                                                    Łódź, 15.05.2025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50"/>
          <w:szCs w:val="50"/>
        </w:rPr>
      </w:pPr>
      <w:r w:rsidDel="00000000" w:rsidR="00000000" w:rsidRPr="00000000">
        <w:rPr>
          <w:sz w:val="50"/>
          <w:szCs w:val="50"/>
          <w:rtl w:val="0"/>
        </w:rPr>
        <w:t xml:space="preserve">Kubota S.A. podsumowała wyniki finansowe za I kwartał roku</w:t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Polska marka klapków, akcesoriów i odzieży zakończyła pierwszy kwartał 2025 roku, notując przychody netto ze sprzedaży na poziomie 7 708 297,03 PLN, co stanowi wzrost o ok. 45% w stosunku do analogicznego okresu roku ubiegłego. Z kolei zysk brutto w I kwartale 2025 r. wyniósł 862 655,88 PLN, co w porównaniu z okresem porównywalnym roku minionego stanowi wzrost o 96%. 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Na powyższe wzrosty wpływ miało m.in. okresowe przesunięcie zrealizowanych przychodów kontraktacyjnych dla kluczowego klienta na pierwszy kwartał roku.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Kubota notuje spory wzrost przychodów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Wyniki za I kwartał 2025 roku wskazują na kontynuację pozytywnych trendów i efektów realizowanej strategii rozwoju. Spółka osiągnęła przychody netto ze sprzedaży na poziomie 7,7 mln zł, co stanowi wzrost o około 45% w porównaniu do analogicznego okresu poprzedniego roku. Zysk brutto wyniósł 0,86 mln zł, czyli niemal dwukrotnie więcej niż w pierwszym kwartale 2024 roku.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i w:val="1"/>
          <w:rtl w:val="0"/>
        </w:rPr>
        <w:t xml:space="preserve">Mając na uwadze wyniki finansowe, Zarząd jest szczególnie dumny z faktu, że w tak trudnym otoczeniu rynkowym Spółka oraz przy kosztownych inwestycjach w działania rebrandingowe, Spółka nadal odnotowuje wysoką rentowność i dynamiczny wzrost  przy stabilnej sytuacji bilansowej. Warto zaznaczyć skalę rebrandingu, który polegał na stworzeniu nowej strategii marki oraz spójnego z nią systemu komunikacji wizualnej widocznego na wszystkich produktach, materiałach komunikacyjnych i w kanałach sprzedaży Spółki — podsumowuje</w:t>
      </w:r>
      <w:r w:rsidDel="00000000" w:rsidR="00000000" w:rsidRPr="00000000">
        <w:rPr>
          <w:rtl w:val="0"/>
        </w:rPr>
        <w:t xml:space="preserve"> Alina Sztoch, CEO &amp; Co-founder Kubota.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Zarząd Spółki podkreśla również, że Kubota S.A. konsekwentnie realizuje obraną strategię, kładąc nacisk na dalszą optymalizację procesów, rozwój asortymentu, umacnianie wizerunku marki, dywersyfikację źródeł przychodów oraz ekspansję zagraniczną. Z unikalnym podejściem do budowania długoterminowej wartości, Spółka zamierza kontynuować ten kierunek, aby w kolejnych kwartałach utrzymać wysoką dynamikę wzrostu.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3222788" cy="41971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22788" cy="41971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QaXIeR2EqBJiWEGHqap5N5Rh5Q==">CgMxLjA4AHIhMWI2SUxkWlZQejU1WnpOU0ZlWDdWaTlZUzNvandqM0hr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